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80044" w:rsidRPr="00926266" w:rsidRDefault="00280044" w:rsidP="00280044">
      <w:pPr>
        <w:spacing w:after="0"/>
        <w:jc w:val="right"/>
        <w:rPr>
          <w:sz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</w:t>
      </w:r>
      <w:r w:rsidRPr="00926266">
        <w:rPr>
          <w:sz w:val="20"/>
        </w:rPr>
        <w:t>2</w:t>
      </w:r>
    </w:p>
    <w:p w:rsidR="00280044" w:rsidRPr="00926266" w:rsidRDefault="00280044" w:rsidP="00280044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280044" w:rsidRPr="00926266" w:rsidRDefault="00280044" w:rsidP="00280044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800B07">
        <w:rPr>
          <w:b/>
          <w:sz w:val="20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280044" w:rsidRPr="00926266" w:rsidRDefault="00280044" w:rsidP="00280044">
      <w:pPr>
        <w:spacing w:after="0"/>
        <w:jc w:val="center"/>
        <w:rPr>
          <w:b/>
          <w:sz w:val="20"/>
          <w:szCs w:val="28"/>
        </w:rPr>
      </w:pPr>
    </w:p>
    <w:p w:rsidR="00280044" w:rsidRPr="00926266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280044" w:rsidRPr="00926266" w:rsidTr="003011A9"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280044" w:rsidRPr="00926266" w:rsidTr="003011A9">
        <w:trPr>
          <w:trHeight w:val="384"/>
        </w:trPr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280044" w:rsidRPr="00926266" w:rsidTr="003011A9"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both"/>
              <w:rPr>
                <w:sz w:val="18"/>
              </w:rPr>
            </w:pPr>
            <w:r w:rsidRPr="00F970F6">
              <w:rPr>
                <w:sz w:val="18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F970F6">
              <w:rPr>
                <w:sz w:val="18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8"/>
                <w:highlight w:val="yellow"/>
              </w:rPr>
              <w:t xml:space="preserve"> муниципального района Воронежской области</w:t>
            </w:r>
          </w:p>
          <w:p w:rsidR="00280044" w:rsidRPr="00926266" w:rsidRDefault="00280044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280044" w:rsidRPr="00926266" w:rsidTr="003011A9"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280044" w:rsidRPr="00800B07" w:rsidTr="003011A9">
        <w:tc>
          <w:tcPr>
            <w:tcW w:w="225" w:type="pct"/>
          </w:tcPr>
          <w:p w:rsidR="00280044" w:rsidRPr="00800B07" w:rsidRDefault="00280044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280044" w:rsidRPr="00800B07" w:rsidRDefault="00280044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80044" w:rsidRPr="00800B07" w:rsidRDefault="00280044" w:rsidP="003011A9">
            <w:pPr>
              <w:spacing w:after="0"/>
              <w:jc w:val="both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280044" w:rsidRPr="00926266" w:rsidTr="003011A9"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80044" w:rsidRPr="00926266" w:rsidTr="003011A9"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both"/>
              <w:rPr>
                <w:sz w:val="18"/>
              </w:rPr>
            </w:pPr>
            <w:r w:rsidRPr="00F970F6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F970F6">
              <w:rPr>
                <w:sz w:val="18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8"/>
                <w:highlight w:val="yellow"/>
              </w:rPr>
              <w:t xml:space="preserve"> муниципального района Воронежской области от 24.05.2016 г. № 108 «Об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F970F6">
              <w:rPr>
                <w:sz w:val="18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8"/>
                <w:highlight w:val="yellow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(в редакции постановлений от 12.05.2023 г. №99)</w:t>
            </w:r>
          </w:p>
        </w:tc>
      </w:tr>
      <w:tr w:rsidR="00280044" w:rsidRPr="00926266" w:rsidTr="003011A9">
        <w:tc>
          <w:tcPr>
            <w:tcW w:w="225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280044" w:rsidRPr="00926266" w:rsidRDefault="00280044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80044" w:rsidRPr="00926266" w:rsidTr="003011A9">
        <w:trPr>
          <w:trHeight w:val="300"/>
        </w:trPr>
        <w:tc>
          <w:tcPr>
            <w:tcW w:w="225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80044" w:rsidRPr="00AF7F63" w:rsidRDefault="00280044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80044" w:rsidRPr="00926266" w:rsidTr="003011A9">
        <w:trPr>
          <w:trHeight w:val="270"/>
        </w:trPr>
        <w:tc>
          <w:tcPr>
            <w:tcW w:w="225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80044" w:rsidRPr="00AF7F63" w:rsidRDefault="00280044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280044" w:rsidRPr="00926266" w:rsidTr="003011A9">
        <w:trPr>
          <w:trHeight w:val="240"/>
        </w:trPr>
        <w:tc>
          <w:tcPr>
            <w:tcW w:w="225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80044" w:rsidRPr="00AF7F63" w:rsidRDefault="00280044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80044" w:rsidRPr="00926266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800B07">
              <w:rPr>
                <w:sz w:val="1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926266">
              <w:rPr>
                <w:sz w:val="18"/>
              </w:rPr>
              <w:t>»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lastRenderedPageBreak/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800B07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280044" w:rsidRPr="00800B07" w:rsidRDefault="00280044" w:rsidP="003011A9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280044" w:rsidRPr="00926266" w:rsidRDefault="00280044" w:rsidP="003011A9">
            <w:pPr>
              <w:spacing w:after="0"/>
              <w:rPr>
                <w:b/>
                <w:sz w:val="14"/>
                <w:szCs w:val="20"/>
              </w:rPr>
            </w:pPr>
            <w:r w:rsidRPr="00800B07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280044" w:rsidRPr="00FE0E8A" w:rsidTr="003011A9">
        <w:tc>
          <w:tcPr>
            <w:tcW w:w="222" w:type="pct"/>
          </w:tcPr>
          <w:p w:rsidR="00280044" w:rsidRPr="00FE0E8A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</w:t>
            </w:r>
            <w:r w:rsidRPr="00FE0E8A">
              <w:rPr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</w:t>
            </w:r>
            <w:r w:rsidRPr="00FE0E8A">
              <w:rPr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280044" w:rsidRPr="00FE0E8A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280044" w:rsidRPr="00FE0E8A" w:rsidRDefault="00280044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FE0E8A">
              <w:rPr>
                <w:rFonts w:ascii="Times New Roman" w:hAnsi="Times New Roman" w:cs="Times New Roman"/>
                <w:sz w:val="18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AF7F63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280044" w:rsidRPr="00AF7F63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80044" w:rsidRPr="00AF7F63" w:rsidRDefault="00280044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280044" w:rsidRPr="00926266" w:rsidRDefault="00280044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80044" w:rsidRPr="00926266" w:rsidTr="003011A9">
        <w:tc>
          <w:tcPr>
            <w:tcW w:w="222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0044" w:rsidRPr="00AF7F63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  <w:r w:rsidRPr="00926266">
              <w:rPr>
                <w:sz w:val="18"/>
              </w:rPr>
              <w:t>.</w:t>
            </w:r>
          </w:p>
        </w:tc>
      </w:tr>
    </w:tbl>
    <w:p w:rsidR="00280044" w:rsidRPr="00926266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926266" w:rsidRDefault="00280044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 </w:t>
            </w:r>
            <w:r w:rsidRPr="00F970F6">
              <w:rPr>
                <w:sz w:val="18"/>
                <w:highlight w:val="yellow"/>
              </w:rPr>
              <w:t>Нижнекисляйского городского поселения</w:t>
            </w:r>
            <w:r w:rsidRPr="00800B07">
              <w:rPr>
                <w:sz w:val="18"/>
              </w:rPr>
              <w:t xml:space="preserve">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926266" w:rsidRDefault="0028004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80044" w:rsidRPr="00926266" w:rsidRDefault="00280044" w:rsidP="003011A9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280044" w:rsidRPr="00926266" w:rsidTr="003011A9">
        <w:trPr>
          <w:trHeight w:val="287"/>
        </w:trPr>
        <w:tc>
          <w:tcPr>
            <w:tcW w:w="18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926266" w:rsidRDefault="00280044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80044" w:rsidRPr="00926266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800B07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00B07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80044" w:rsidRPr="00926266" w:rsidTr="003011A9">
        <w:tc>
          <w:tcPr>
            <w:tcW w:w="189" w:type="pct"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280044" w:rsidRPr="00EF5A99" w:rsidTr="003011A9">
        <w:tc>
          <w:tcPr>
            <w:tcW w:w="189" w:type="pct"/>
          </w:tcPr>
          <w:p w:rsidR="00280044" w:rsidRPr="00EF5A99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EF5A99" w:rsidRDefault="00280044" w:rsidP="003011A9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280044" w:rsidRPr="00EF5A99" w:rsidTr="003011A9">
        <w:tc>
          <w:tcPr>
            <w:tcW w:w="189" w:type="pct"/>
          </w:tcPr>
          <w:p w:rsidR="00280044" w:rsidRPr="00EF5A99" w:rsidRDefault="00280044" w:rsidP="003011A9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80044" w:rsidRPr="00EF5A99" w:rsidRDefault="00280044" w:rsidP="003011A9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80044" w:rsidRPr="00EF5A99" w:rsidTr="003011A9">
        <w:tc>
          <w:tcPr>
            <w:tcW w:w="189" w:type="pct"/>
          </w:tcPr>
          <w:p w:rsidR="00280044" w:rsidRPr="00EF5A99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0044" w:rsidRPr="00EF5A99" w:rsidRDefault="00280044" w:rsidP="003011A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280044" w:rsidRDefault="00280044" w:rsidP="00280044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F4939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F4939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  <w:lang w:val="en-US"/>
              </w:rPr>
              <w:t>SID</w:t>
            </w:r>
            <w:r w:rsidRPr="00EF4939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9</w:t>
            </w:r>
          </w:p>
        </w:tc>
      </w:tr>
      <w:tr w:rsidR="00280044" w:rsidRPr="00EF4939" w:rsidTr="003011A9">
        <w:tc>
          <w:tcPr>
            <w:tcW w:w="15538" w:type="dxa"/>
            <w:gridSpan w:val="9"/>
          </w:tcPr>
          <w:p w:rsidR="00280044" w:rsidRPr="00EF4939" w:rsidRDefault="00280044" w:rsidP="003011A9">
            <w:pPr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F4939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F4939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  <w:highlight w:val="yellow"/>
              </w:rPr>
            </w:pPr>
            <w:r w:rsidRPr="00EF493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информация о наличии (отсутствии) оспаривания в </w:t>
            </w:r>
            <w:r w:rsidRPr="00EF4939">
              <w:rPr>
                <w:sz w:val="16"/>
                <w:szCs w:val="16"/>
              </w:rPr>
              <w:lastRenderedPageBreak/>
              <w:t>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 xml:space="preserve">- адрес дома, в котором размещено жилое </w:t>
            </w:r>
            <w:r w:rsidRPr="00EF4939">
              <w:rPr>
                <w:sz w:val="16"/>
                <w:szCs w:val="16"/>
              </w:rPr>
              <w:lastRenderedPageBreak/>
              <w:t>помещения, подлежащее обмену;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lastRenderedPageBreak/>
              <w:t xml:space="preserve">администрация Нижнекисляйского </w:t>
            </w:r>
            <w:r w:rsidRPr="00EF4939">
              <w:rPr>
                <w:sz w:val="16"/>
                <w:szCs w:val="16"/>
                <w:highlight w:val="yellow"/>
              </w:rPr>
              <w:lastRenderedPageBreak/>
              <w:t>городского поселения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lastRenderedPageBreak/>
              <w:t xml:space="preserve">администрация Нижнекисляйского </w:t>
            </w:r>
            <w:r w:rsidRPr="00EF4939">
              <w:rPr>
                <w:sz w:val="16"/>
                <w:szCs w:val="16"/>
                <w:highlight w:val="yellow"/>
              </w:rPr>
              <w:lastRenderedPageBreak/>
              <w:t>городского поселения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6 рабочих дней (направление </w:t>
            </w:r>
            <w:r w:rsidRPr="00EF4939">
              <w:rPr>
                <w:sz w:val="16"/>
                <w:szCs w:val="16"/>
              </w:rPr>
              <w:lastRenderedPageBreak/>
              <w:t>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280044" w:rsidRDefault="00280044" w:rsidP="003011A9">
            <w:r w:rsidRPr="002D0C60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280044" w:rsidRDefault="00280044" w:rsidP="003011A9">
            <w:r w:rsidRPr="002D0C60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</w:t>
            </w:r>
            <w:r w:rsidRPr="00EF4939">
              <w:rPr>
                <w:sz w:val="16"/>
                <w:szCs w:val="16"/>
              </w:rPr>
              <w:lastRenderedPageBreak/>
              <w:t>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280044" w:rsidRPr="00EF4939" w:rsidTr="003011A9">
        <w:tc>
          <w:tcPr>
            <w:tcW w:w="166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280044" w:rsidRDefault="00280044" w:rsidP="003011A9">
            <w:r w:rsidRPr="0001676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909" w:type="dxa"/>
          </w:tcPr>
          <w:p w:rsidR="00280044" w:rsidRDefault="00280044" w:rsidP="003011A9">
            <w:r w:rsidRPr="00016769">
              <w:rPr>
                <w:sz w:val="16"/>
                <w:szCs w:val="16"/>
                <w:highlight w:val="yellow"/>
              </w:rPr>
              <w:t>администрация Нижнекисляйского городского поселения</w:t>
            </w:r>
          </w:p>
        </w:tc>
        <w:tc>
          <w:tcPr>
            <w:tcW w:w="120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80044" w:rsidRPr="00EF4939" w:rsidRDefault="00280044" w:rsidP="003011A9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280044" w:rsidRPr="00EF4939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</w:tr>
    </w:tbl>
    <w:p w:rsidR="00280044" w:rsidRPr="00926266" w:rsidRDefault="00280044" w:rsidP="00280044">
      <w:pPr>
        <w:spacing w:after="0"/>
        <w:jc w:val="both"/>
        <w:rPr>
          <w:b/>
          <w:sz w:val="20"/>
          <w:szCs w:val="28"/>
        </w:rPr>
      </w:pPr>
    </w:p>
    <w:p w:rsidR="00280044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Style w:val="a5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280044" w:rsidRPr="00970EBA" w:rsidTr="003011A9">
        <w:tc>
          <w:tcPr>
            <w:tcW w:w="534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  <w:r w:rsidRPr="00970EBA">
              <w:rPr>
                <w:b/>
                <w:sz w:val="16"/>
                <w:szCs w:val="16"/>
              </w:rPr>
              <w:t>/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80044" w:rsidRPr="00970EBA" w:rsidTr="003011A9">
        <w:tc>
          <w:tcPr>
            <w:tcW w:w="534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МФЦ</w:t>
            </w:r>
          </w:p>
        </w:tc>
      </w:tr>
      <w:tr w:rsidR="00280044" w:rsidRPr="00970EBA" w:rsidTr="003011A9">
        <w:tc>
          <w:tcPr>
            <w:tcW w:w="534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280044" w:rsidRPr="00970EBA" w:rsidTr="003011A9">
        <w:tc>
          <w:tcPr>
            <w:tcW w:w="15538" w:type="dxa"/>
            <w:gridSpan w:val="9"/>
          </w:tcPr>
          <w:p w:rsidR="00280044" w:rsidRPr="00970EBA" w:rsidRDefault="00280044" w:rsidP="003011A9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280044" w:rsidRPr="00970EBA" w:rsidTr="003011A9">
        <w:tc>
          <w:tcPr>
            <w:tcW w:w="534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Постановлпение</w:t>
            </w:r>
            <w:proofErr w:type="spellEnd"/>
            <w:r w:rsidRPr="00970EBA"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 xml:space="preserve"> о </w:t>
            </w:r>
            <w:r w:rsidRPr="00970EBA">
              <w:rPr>
                <w:sz w:val="16"/>
                <w:szCs w:val="16"/>
              </w:rPr>
              <w:t>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почтовая связь;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80044" w:rsidRPr="00970EBA" w:rsidTr="003011A9">
        <w:tc>
          <w:tcPr>
            <w:tcW w:w="534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r w:rsidRPr="00970EBA">
              <w:rPr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почтовая связь;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280044" w:rsidRPr="00926266" w:rsidRDefault="00280044" w:rsidP="00280044">
      <w:pPr>
        <w:spacing w:after="0"/>
        <w:rPr>
          <w:b/>
          <w:sz w:val="20"/>
          <w:szCs w:val="28"/>
        </w:rPr>
      </w:pPr>
    </w:p>
    <w:p w:rsidR="00280044" w:rsidRDefault="00280044" w:rsidP="00280044">
      <w:pPr>
        <w:spacing w:after="0"/>
        <w:rPr>
          <w:b/>
          <w:sz w:val="20"/>
          <w:szCs w:val="28"/>
        </w:rPr>
      </w:pPr>
    </w:p>
    <w:p w:rsidR="00280044" w:rsidRDefault="00280044" w:rsidP="00280044">
      <w:pPr>
        <w:spacing w:after="0"/>
        <w:rPr>
          <w:b/>
          <w:sz w:val="20"/>
          <w:szCs w:val="28"/>
        </w:rPr>
      </w:pPr>
    </w:p>
    <w:p w:rsidR="00280044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5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  <w:r w:rsidRPr="00970EBA">
              <w:rPr>
                <w:b/>
                <w:sz w:val="16"/>
                <w:szCs w:val="16"/>
              </w:rPr>
              <w:t>/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</w:tr>
      <w:tr w:rsidR="00280044" w:rsidRPr="00970EBA" w:rsidTr="003011A9">
        <w:tc>
          <w:tcPr>
            <w:tcW w:w="14850" w:type="dxa"/>
            <w:gridSpan w:val="7"/>
          </w:tcPr>
          <w:p w:rsidR="00280044" w:rsidRPr="00970EBA" w:rsidRDefault="00280044" w:rsidP="003011A9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280044" w:rsidRPr="00970EBA" w:rsidTr="003011A9">
        <w:tc>
          <w:tcPr>
            <w:tcW w:w="14850" w:type="dxa"/>
            <w:gridSpan w:val="7"/>
          </w:tcPr>
          <w:p w:rsidR="00280044" w:rsidRPr="00970EBA" w:rsidRDefault="00280044" w:rsidP="003011A9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В случае наличия основания, указанного в подразделе 2.7 Административного регламента </w:t>
            </w:r>
            <w:r w:rsidRPr="00970EBA">
              <w:rPr>
                <w:sz w:val="16"/>
                <w:szCs w:val="16"/>
              </w:rPr>
              <w:lastRenderedPageBreak/>
              <w:t>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</w:t>
            </w:r>
            <w:r w:rsidRPr="00970EBA">
              <w:rPr>
                <w:sz w:val="16"/>
                <w:szCs w:val="16"/>
              </w:rPr>
              <w:lastRenderedPageBreak/>
              <w:t>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 регистрирует заявление с прилагаемым комплектом документов;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280044" w:rsidRPr="00970EBA" w:rsidRDefault="00280044" w:rsidP="003011A9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280044" w:rsidRPr="00970EBA" w:rsidRDefault="00280044" w:rsidP="003011A9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заявлений;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расписок в получении документов;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заявления (приложение 1);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образец заявления (приложение 2);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</w:tr>
      <w:tr w:rsidR="00280044" w:rsidRPr="00970EBA" w:rsidTr="003011A9">
        <w:tc>
          <w:tcPr>
            <w:tcW w:w="14850" w:type="dxa"/>
            <w:gridSpan w:val="7"/>
          </w:tcPr>
          <w:p w:rsidR="00280044" w:rsidRPr="00970EBA" w:rsidRDefault="00280044" w:rsidP="003011A9">
            <w:pPr>
              <w:ind w:left="4395" w:hanging="4395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рабочих дней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</w:t>
            </w:r>
            <w:r w:rsidRPr="00970EBA">
              <w:rPr>
                <w:sz w:val="16"/>
                <w:szCs w:val="16"/>
              </w:rPr>
              <w:lastRenderedPageBreak/>
              <w:t>рамках межведомственного взаимодействия в течение 2 рабочих дней направляет запросы в: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Принятие решения о даче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по договорам социального найма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</w:t>
            </w:r>
            <w:r w:rsidRPr="00970EBA">
              <w:rPr>
                <w:sz w:val="16"/>
                <w:szCs w:val="16"/>
              </w:rPr>
              <w:lastRenderedPageBreak/>
              <w:t>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</w:tr>
      <w:tr w:rsidR="00280044" w:rsidRPr="00970EBA" w:rsidTr="003011A9">
        <w:tc>
          <w:tcPr>
            <w:tcW w:w="14850" w:type="dxa"/>
            <w:gridSpan w:val="7"/>
          </w:tcPr>
          <w:p w:rsidR="00280044" w:rsidRPr="00970EBA" w:rsidRDefault="00280044" w:rsidP="003011A9">
            <w:pPr>
              <w:ind w:left="4395" w:hanging="4395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280044" w:rsidRPr="00970EBA" w:rsidTr="003011A9">
        <w:tc>
          <w:tcPr>
            <w:tcW w:w="641" w:type="dxa"/>
          </w:tcPr>
          <w:p w:rsidR="00280044" w:rsidRPr="00970EBA" w:rsidRDefault="00280044" w:rsidP="003011A9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Выдача (направление) документа,</w:t>
            </w:r>
          </w:p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280044" w:rsidRPr="00970EBA" w:rsidRDefault="0028004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280044" w:rsidRPr="00970EBA" w:rsidRDefault="0028004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непосредственно по месту подачи заявления;</w:t>
            </w:r>
          </w:p>
          <w:p w:rsidR="00280044" w:rsidRPr="00970EBA" w:rsidRDefault="0028004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посредством почтового отправления;</w:t>
            </w:r>
          </w:p>
          <w:p w:rsidR="00280044" w:rsidRPr="00970EBA" w:rsidRDefault="00280044" w:rsidP="003011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280044" w:rsidRPr="00970EBA" w:rsidRDefault="00280044" w:rsidP="003011A9">
            <w:pPr>
              <w:rPr>
                <w:sz w:val="16"/>
                <w:szCs w:val="16"/>
              </w:rPr>
            </w:pPr>
          </w:p>
        </w:tc>
      </w:tr>
    </w:tbl>
    <w:p w:rsidR="00280044" w:rsidRPr="00926266" w:rsidRDefault="00280044" w:rsidP="00280044">
      <w:pPr>
        <w:spacing w:after="0"/>
        <w:rPr>
          <w:b/>
          <w:sz w:val="20"/>
          <w:szCs w:val="28"/>
        </w:rPr>
      </w:pPr>
    </w:p>
    <w:p w:rsidR="00280044" w:rsidRPr="00926266" w:rsidRDefault="00280044" w:rsidP="0028004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280044" w:rsidRPr="00926266" w:rsidTr="003011A9">
        <w:trPr>
          <w:trHeight w:val="517"/>
        </w:trPr>
        <w:tc>
          <w:tcPr>
            <w:tcW w:w="679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80044" w:rsidRPr="00926266" w:rsidTr="003011A9">
        <w:trPr>
          <w:trHeight w:val="517"/>
        </w:trPr>
        <w:tc>
          <w:tcPr>
            <w:tcW w:w="679" w:type="pct"/>
            <w:vMerge/>
          </w:tcPr>
          <w:p w:rsidR="00280044" w:rsidRPr="00926266" w:rsidRDefault="00280044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80044" w:rsidRPr="00926266" w:rsidTr="003011A9">
        <w:tc>
          <w:tcPr>
            <w:tcW w:w="679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280044" w:rsidRPr="00926266" w:rsidRDefault="00280044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280044" w:rsidRPr="00926266" w:rsidTr="003011A9">
        <w:tc>
          <w:tcPr>
            <w:tcW w:w="5000" w:type="pct"/>
            <w:gridSpan w:val="6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800B07">
              <w:rPr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280044" w:rsidRPr="00926266" w:rsidTr="003011A9">
        <w:tc>
          <w:tcPr>
            <w:tcW w:w="679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280044" w:rsidRPr="00926266" w:rsidRDefault="00280044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280044" w:rsidRPr="00926266" w:rsidRDefault="00280044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280044" w:rsidRPr="00926266" w:rsidRDefault="00280044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280044" w:rsidRPr="00926266" w:rsidRDefault="0028004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280044" w:rsidRPr="00926266" w:rsidRDefault="0028004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280044" w:rsidRPr="00926266" w:rsidRDefault="0028004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80044" w:rsidRPr="00926266" w:rsidRDefault="0028004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80044" w:rsidRPr="00926266" w:rsidRDefault="00280044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280044" w:rsidRDefault="00280044" w:rsidP="00280044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280044" w:rsidRPr="00926266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>
        <w:rPr>
          <w:sz w:val="18"/>
          <w:szCs w:val="28"/>
        </w:rPr>
        <w:t>Приложение №1</w:t>
      </w:r>
      <w:r>
        <w:rPr>
          <w:sz w:val="18"/>
          <w:szCs w:val="28"/>
        </w:rPr>
        <w:br/>
      </w:r>
      <w:r w:rsidRPr="00926266">
        <w:rPr>
          <w:sz w:val="16"/>
          <w:szCs w:val="23"/>
        </w:rPr>
        <w:t>к Технологической схеме</w:t>
      </w: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280044" w:rsidRPr="00994103" w:rsidRDefault="00280044" w:rsidP="00280044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В администрацию </w:t>
      </w:r>
      <w:r w:rsidRPr="00F970F6">
        <w:rPr>
          <w:rFonts w:ascii="Times New Roman" w:hAnsi="Times New Roman" w:cs="Times New Roman"/>
          <w:sz w:val="18"/>
          <w:szCs w:val="18"/>
          <w:highlight w:val="yellow"/>
        </w:rPr>
        <w:t>Нижнекисляйского городского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9941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4103">
        <w:rPr>
          <w:rFonts w:ascii="Times New Roman" w:hAnsi="Times New Roman" w:cs="Times New Roman"/>
          <w:sz w:val="18"/>
          <w:szCs w:val="18"/>
        </w:rPr>
        <w:t>Бутурлиновского</w:t>
      </w:r>
      <w:proofErr w:type="spellEnd"/>
      <w:r w:rsidRPr="00994103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280044" w:rsidRPr="00994103" w:rsidRDefault="00280044" w:rsidP="002800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от ______________________________</w:t>
      </w:r>
    </w:p>
    <w:p w:rsidR="00280044" w:rsidRPr="00994103" w:rsidRDefault="00280044" w:rsidP="002800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(Ф.И.О. гражданина полностью)</w:t>
      </w:r>
    </w:p>
    <w:p w:rsidR="00280044" w:rsidRPr="00994103" w:rsidRDefault="00280044" w:rsidP="002800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проживающего по адресу:</w:t>
      </w:r>
    </w:p>
    <w:p w:rsidR="00280044" w:rsidRPr="00994103" w:rsidRDefault="00280044" w:rsidP="002800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_________________________________</w:t>
      </w:r>
    </w:p>
    <w:p w:rsidR="00280044" w:rsidRPr="00994103" w:rsidRDefault="00280044" w:rsidP="002800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паспортные данные: ______________</w:t>
      </w:r>
    </w:p>
    <w:p w:rsidR="00280044" w:rsidRPr="00994103" w:rsidRDefault="00280044" w:rsidP="002800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контактный тел.__________________</w:t>
      </w:r>
    </w:p>
    <w:p w:rsidR="00280044" w:rsidRPr="00994103" w:rsidRDefault="00280044" w:rsidP="00280044">
      <w:pPr>
        <w:pStyle w:val="ConsPlusNonformat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80044" w:rsidRPr="00994103" w:rsidRDefault="00280044" w:rsidP="002800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ЗАЯВЛЕНИЕ</w:t>
      </w: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280044" w:rsidRPr="00994103" w:rsidRDefault="00280044" w:rsidP="002800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</w:p>
    <w:p w:rsidR="00280044" w:rsidRPr="00994103" w:rsidRDefault="00280044" w:rsidP="002800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состоящего  из  ____ комнат, общей площадью _____________, </w:t>
      </w: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на жилое помещение, расположенное по адресу: __________________________________________________________________</w:t>
      </w:r>
    </w:p>
    <w:p w:rsidR="00280044" w:rsidRPr="00994103" w:rsidRDefault="00280044" w:rsidP="002800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</w:p>
    <w:p w:rsidR="00280044" w:rsidRPr="00994103" w:rsidRDefault="00280044" w:rsidP="002800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состоящего  из  ____  комнат, общей площадью _______________.</w:t>
      </w:r>
    </w:p>
    <w:p w:rsidR="00280044" w:rsidRPr="00994103" w:rsidRDefault="00280044" w:rsidP="00280044">
      <w:pPr>
        <w:pStyle w:val="ConsPlusNonformat"/>
        <w:ind w:firstLine="426"/>
        <w:rPr>
          <w:rFonts w:ascii="Times New Roman" w:hAnsi="Times New Roman" w:cs="Times New Roman"/>
          <w:sz w:val="18"/>
          <w:szCs w:val="18"/>
        </w:rPr>
      </w:pP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документы: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1. __________________________________________________________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2. __________________________________________________________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3. __________________________________________________________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4. __________________________________________________________</w:t>
      </w: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Дата ____________________          Подпись ________________________</w:t>
      </w:r>
    </w:p>
    <w:p w:rsidR="00280044" w:rsidRPr="00994103" w:rsidRDefault="00280044" w:rsidP="0028004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80044" w:rsidRPr="00994103" w:rsidRDefault="00280044" w:rsidP="0028004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4" w:history="1">
        <w:r w:rsidRPr="00994103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94103">
        <w:rPr>
          <w:rFonts w:ascii="Times New Roman" w:hAnsi="Times New Roman" w:cs="Times New Roman"/>
          <w:sz w:val="18"/>
          <w:szCs w:val="18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5" w:history="1">
        <w:r w:rsidRPr="00994103">
          <w:rPr>
            <w:rFonts w:ascii="Times New Roman" w:hAnsi="Times New Roman" w:cs="Times New Roman"/>
            <w:sz w:val="18"/>
            <w:szCs w:val="18"/>
          </w:rPr>
          <w:t>статье 73</w:t>
        </w:r>
      </w:hyperlink>
      <w:r w:rsidRPr="00994103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Федерации.</w:t>
      </w:r>
    </w:p>
    <w:p w:rsidR="00280044" w:rsidRPr="00994103" w:rsidRDefault="00280044" w:rsidP="0028004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Заявитель:                             _____________ / ___________________/</w:t>
      </w:r>
    </w:p>
    <w:p w:rsidR="00280044" w:rsidRPr="00994103" w:rsidRDefault="00280044" w:rsidP="0028004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(подпись)             (расшифровка подписи)</w:t>
      </w:r>
    </w:p>
    <w:p w:rsidR="00280044" w:rsidRPr="00994103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Pr="00994103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Pr="00994103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Pr="00994103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Pr="00994103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80044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Pr="00926266" w:rsidRDefault="00280044" w:rsidP="0028004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>
        <w:rPr>
          <w:sz w:val="18"/>
          <w:szCs w:val="28"/>
        </w:rPr>
        <w:t>Приложение №2</w:t>
      </w:r>
      <w:r>
        <w:rPr>
          <w:sz w:val="18"/>
          <w:szCs w:val="28"/>
        </w:rPr>
        <w:br/>
      </w:r>
      <w:r w:rsidRPr="00926266">
        <w:rPr>
          <w:sz w:val="16"/>
          <w:szCs w:val="23"/>
        </w:rPr>
        <w:t>к Технологической схеме</w:t>
      </w:r>
    </w:p>
    <w:p w:rsidR="00280044" w:rsidRPr="00994103" w:rsidRDefault="00280044" w:rsidP="00280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РАСПИСКА</w:t>
      </w: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в получении документов, представленных для принятия решения</w:t>
      </w: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Настоящим удостоверяется, что заявитель</w:t>
      </w:r>
    </w:p>
    <w:p w:rsidR="00280044" w:rsidRPr="00994103" w:rsidRDefault="00280044" w:rsidP="002800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(фамилия, имя, отчество)</w:t>
      </w:r>
    </w:p>
    <w:p w:rsidR="00280044" w:rsidRPr="00994103" w:rsidRDefault="00280044" w:rsidP="002800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280044" w:rsidRPr="00994103" w:rsidRDefault="00280044" w:rsidP="002800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в количестве _______________________________ экземпляров по</w:t>
      </w:r>
    </w:p>
    <w:p w:rsidR="00280044" w:rsidRPr="00994103" w:rsidRDefault="00280044" w:rsidP="002800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280044" w:rsidRPr="00994103" w:rsidRDefault="00280044" w:rsidP="002800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280044" w:rsidRPr="00994103" w:rsidRDefault="00280044" w:rsidP="002800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280044" w:rsidRPr="00994103" w:rsidRDefault="00280044" w:rsidP="00280044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280044" w:rsidRPr="00994103" w:rsidRDefault="00280044" w:rsidP="00280044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280044" w:rsidRPr="00994103" w:rsidRDefault="00280044" w:rsidP="00280044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</w:t>
      </w:r>
    </w:p>
    <w:p w:rsidR="00280044" w:rsidRPr="00994103" w:rsidRDefault="00280044" w:rsidP="0028004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80044" w:rsidRPr="00994103" w:rsidRDefault="00280044" w:rsidP="0028004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______________________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(должность специалиста,                             (подпись)                                         (расшифровка подписи)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ответственного за</w:t>
      </w:r>
    </w:p>
    <w:p w:rsidR="00280044" w:rsidRPr="00994103" w:rsidRDefault="00280044" w:rsidP="0028004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прием документов)</w:t>
      </w:r>
    </w:p>
    <w:p w:rsidR="00235454" w:rsidRDefault="00235454"/>
    <w:sectPr w:rsidR="00235454" w:rsidSect="00280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0044"/>
    <w:rsid w:val="00235454"/>
    <w:rsid w:val="002700A3"/>
    <w:rsid w:val="00280044"/>
    <w:rsid w:val="004A2C03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4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80044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280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8004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80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80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8004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04D18144E91CE05B6E6A88B7729E9D6BC19442B6A294DB595AB7788C57B4280C5EB5D145F38588w1k6G" TargetMode="External"/><Relationship Id="rId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4699</Words>
  <Characters>26788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2024-06-24T07:31:00Z</dcterms:created>
  <dcterms:modified xsi:type="dcterms:W3CDTF">2024-06-24T07:31:00Z</dcterms:modified>
</cp:coreProperties>
</file>